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160" w:rsidRPr="00694A11" w:rsidRDefault="00694A11" w:rsidP="00A87160">
      <w:pPr>
        <w:pStyle w:val="Titre1"/>
        <w:jc w:val="center"/>
        <w:rPr>
          <w:color w:val="auto"/>
        </w:rPr>
      </w:pPr>
      <w:r w:rsidRPr="00694A11">
        <w:rPr>
          <w:color w:val="auto"/>
        </w:rPr>
        <w:t xml:space="preserve">Activité </w:t>
      </w:r>
    </w:p>
    <w:p w:rsidR="00A87160" w:rsidRPr="00694A11" w:rsidRDefault="00A87160" w:rsidP="00A87160">
      <w:pPr>
        <w:pStyle w:val="Sous-titre"/>
        <w:rPr>
          <w:color w:val="auto"/>
        </w:rPr>
      </w:pPr>
      <w:r w:rsidRPr="00694A11">
        <w:rPr>
          <w:color w:val="auto"/>
        </w:rPr>
        <w:t>Amorcer la séquence d’enseignement-apprentissage par une situation complexe.</w:t>
      </w:r>
    </w:p>
    <w:p w:rsidR="00A87160" w:rsidRPr="00694A11" w:rsidRDefault="00A87160" w:rsidP="00A87160"/>
    <w:p w:rsidR="00A87160" w:rsidRPr="00694A11" w:rsidRDefault="00A87160" w:rsidP="00A87160">
      <w:pPr>
        <w:pStyle w:val="Titre3"/>
        <w:rPr>
          <w:color w:val="auto"/>
        </w:rPr>
      </w:pPr>
      <w:r w:rsidRPr="00694A11">
        <w:rPr>
          <w:color w:val="auto"/>
        </w:rPr>
        <w:t>Cours ciblé</w:t>
      </w:r>
    </w:p>
    <w:p w:rsidR="00A87160" w:rsidRPr="00694A11" w:rsidRDefault="00A87160" w:rsidP="00A87160"/>
    <w:p w:rsidR="00A87160" w:rsidRPr="00694A11" w:rsidRDefault="00A87160" w:rsidP="00A87160">
      <w:r w:rsidRPr="00694A11">
        <w:t xml:space="preserve">MAT-4171-2 </w:t>
      </w:r>
      <w:r w:rsidRPr="00694A11">
        <w:rPr>
          <w:i/>
        </w:rPr>
        <w:t>Modélisation algébrique et graphique en contexte fondamental 1</w:t>
      </w:r>
      <w:r w:rsidRPr="00694A11">
        <w:t>.</w:t>
      </w:r>
    </w:p>
    <w:p w:rsidR="00A87160" w:rsidRPr="00694A11" w:rsidRDefault="00A87160" w:rsidP="00A87160">
      <w:pPr>
        <w:pStyle w:val="Titre3"/>
        <w:rPr>
          <w:color w:val="auto"/>
        </w:rPr>
      </w:pPr>
      <w:r w:rsidRPr="00694A11">
        <w:rPr>
          <w:color w:val="auto"/>
        </w:rPr>
        <w:t>Préalables</w:t>
      </w:r>
    </w:p>
    <w:p w:rsidR="00A87160" w:rsidRPr="00694A11" w:rsidRDefault="00A87160" w:rsidP="00A87160">
      <w:pPr>
        <w:pStyle w:val="Paragraphedeliste"/>
        <w:numPr>
          <w:ilvl w:val="0"/>
          <w:numId w:val="1"/>
        </w:numPr>
      </w:pPr>
      <w:r w:rsidRPr="00694A11">
        <w:t xml:space="preserve">Fonction polynomiale du premier degré (linéaire) : </w:t>
      </w:r>
    </w:p>
    <w:p w:rsidR="00A87160" w:rsidRPr="00694A11" w:rsidRDefault="00A87160" w:rsidP="00A87160">
      <w:pPr>
        <w:pStyle w:val="Paragraphedeliste"/>
        <w:numPr>
          <w:ilvl w:val="1"/>
          <w:numId w:val="1"/>
        </w:numPr>
      </w:pPr>
      <w:r w:rsidRPr="00694A11">
        <w:t>Reconnaissance de cette fonction dans une table de valeurs ou/et dans une graphique.</w:t>
      </w:r>
    </w:p>
    <w:p w:rsidR="00A87160" w:rsidRPr="00694A11" w:rsidRDefault="00A87160" w:rsidP="00A87160">
      <w:pPr>
        <w:pStyle w:val="Paragraphedeliste"/>
        <w:numPr>
          <w:ilvl w:val="1"/>
          <w:numId w:val="1"/>
        </w:numPr>
      </w:pPr>
      <w:r w:rsidRPr="00694A11">
        <w:t xml:space="preserve">Recherche du taux de variation à partir de différents couples de points et validation de la constance de la valeur obtenue. </w:t>
      </w:r>
    </w:p>
    <w:p w:rsidR="00A87160" w:rsidRPr="00694A11" w:rsidRDefault="00A87160" w:rsidP="00A87160">
      <w:pPr>
        <w:pStyle w:val="Paragraphedeliste"/>
        <w:numPr>
          <w:ilvl w:val="0"/>
          <w:numId w:val="1"/>
        </w:numPr>
      </w:pPr>
      <w:r w:rsidRPr="00694A11">
        <w:t>Résolution algébrique de systèmes d’équations du premier degré par la méthode de comparaison.</w:t>
      </w:r>
    </w:p>
    <w:p w:rsidR="00A87160" w:rsidRPr="00694A11" w:rsidRDefault="00A87160" w:rsidP="00A87160">
      <w:pPr>
        <w:pStyle w:val="Paragraphedeliste"/>
        <w:numPr>
          <w:ilvl w:val="0"/>
          <w:numId w:val="1"/>
        </w:numPr>
      </w:pPr>
      <w:r w:rsidRPr="00694A11">
        <w:t xml:space="preserve">Fonction polynomiale de degré deux : </w:t>
      </w:r>
    </w:p>
    <w:p w:rsidR="00A87160" w:rsidRPr="00694A11" w:rsidRDefault="00A87160" w:rsidP="00A87160">
      <w:pPr>
        <w:pStyle w:val="Paragraphedeliste"/>
        <w:numPr>
          <w:ilvl w:val="1"/>
          <w:numId w:val="1"/>
        </w:numPr>
      </w:pPr>
      <w:r w:rsidRPr="00694A11">
        <w:t>Reconnaissance de cette fonction par l’allure de la courbe.</w:t>
      </w:r>
    </w:p>
    <w:p w:rsidR="00A87160" w:rsidRPr="00694A11" w:rsidRDefault="00A87160" w:rsidP="00A87160">
      <w:pPr>
        <w:pStyle w:val="Titre3"/>
        <w:rPr>
          <w:color w:val="auto"/>
        </w:rPr>
      </w:pPr>
      <w:r w:rsidRPr="00694A11">
        <w:rPr>
          <w:color w:val="auto"/>
        </w:rPr>
        <w:t>Intentions didactiques</w:t>
      </w:r>
    </w:p>
    <w:p w:rsidR="00A87160" w:rsidRPr="00694A11" w:rsidRDefault="00A87160" w:rsidP="00A87160">
      <w:pPr>
        <w:pStyle w:val="Paragraphedeliste"/>
        <w:numPr>
          <w:ilvl w:val="0"/>
          <w:numId w:val="2"/>
        </w:numPr>
        <w:jc w:val="both"/>
      </w:pPr>
      <w:r w:rsidRPr="00694A11">
        <w:t>Susciter l’intérêt de découvrir d’autres règles associées à d’autres modèles mathématiques (ici la fonction du 2</w:t>
      </w:r>
      <w:r w:rsidRPr="00694A11">
        <w:rPr>
          <w:vertAlign w:val="superscript"/>
        </w:rPr>
        <w:t>e</w:t>
      </w:r>
      <w:r w:rsidRPr="00694A11">
        <w:t xml:space="preserve"> degré).</w:t>
      </w:r>
    </w:p>
    <w:p w:rsidR="00A87160" w:rsidRPr="00694A11" w:rsidRDefault="00A87160" w:rsidP="00A87160">
      <w:pPr>
        <w:pStyle w:val="Paragraphedeliste"/>
        <w:numPr>
          <w:ilvl w:val="0"/>
          <w:numId w:val="2"/>
        </w:numPr>
        <w:jc w:val="both"/>
      </w:pPr>
      <w:r w:rsidRPr="00694A11">
        <w:t>Reconnaître la fonction permettant de mathématiser la situation proposée.</w:t>
      </w:r>
    </w:p>
    <w:p w:rsidR="00A87160" w:rsidRPr="00694A11" w:rsidRDefault="00A87160" w:rsidP="00A87160">
      <w:pPr>
        <w:pStyle w:val="Paragraphedeliste"/>
        <w:numPr>
          <w:ilvl w:val="0"/>
          <w:numId w:val="2"/>
        </w:numPr>
        <w:jc w:val="both"/>
      </w:pPr>
      <w:r w:rsidRPr="00694A11">
        <w:t>Reformuler le problème de manière à chercher les coordonnées du sommet de la parabole.</w:t>
      </w:r>
    </w:p>
    <w:p w:rsidR="00A87160" w:rsidRPr="00694A11" w:rsidRDefault="00A87160" w:rsidP="00A87160"/>
    <w:p w:rsidR="00A87160" w:rsidRPr="00694A11" w:rsidRDefault="00A87160" w:rsidP="00A87160">
      <w:pPr>
        <w:pStyle w:val="Titre3"/>
        <w:rPr>
          <w:color w:val="auto"/>
        </w:rPr>
      </w:pPr>
      <w:r w:rsidRPr="00694A11">
        <w:rPr>
          <w:color w:val="auto"/>
        </w:rPr>
        <w:t>Intentions de l’activité</w:t>
      </w:r>
    </w:p>
    <w:p w:rsidR="00A87160" w:rsidRPr="00694A11" w:rsidRDefault="00A87160" w:rsidP="00A87160">
      <w:pPr>
        <w:spacing w:line="276" w:lineRule="auto"/>
        <w:jc w:val="both"/>
      </w:pPr>
      <w:r w:rsidRPr="00694A11">
        <w:t xml:space="preserve">À partir de la situation «Le rendement agricole» : </w:t>
      </w:r>
    </w:p>
    <w:p w:rsidR="00A87160" w:rsidRPr="00694A11" w:rsidRDefault="00A87160" w:rsidP="00A87160">
      <w:pPr>
        <w:pStyle w:val="Paragraphedeliste"/>
        <w:numPr>
          <w:ilvl w:val="0"/>
          <w:numId w:val="3"/>
        </w:numPr>
        <w:spacing w:line="276" w:lineRule="auto"/>
        <w:jc w:val="both"/>
      </w:pPr>
      <w:r w:rsidRPr="00694A11">
        <w:t>Identifier les savoirs nécessaires à la résolution du problème.</w:t>
      </w:r>
    </w:p>
    <w:p w:rsidR="00A87160" w:rsidRPr="00694A11" w:rsidRDefault="00A87160" w:rsidP="00A87160">
      <w:pPr>
        <w:pStyle w:val="Paragraphedeliste"/>
        <w:numPr>
          <w:ilvl w:val="0"/>
          <w:numId w:val="3"/>
        </w:numPr>
        <w:spacing w:line="276" w:lineRule="auto"/>
        <w:jc w:val="both"/>
      </w:pPr>
      <w:r w:rsidRPr="00694A11">
        <w:t>Distinguer les savoirs considérés comme préalables (appris et évalués dans un autre cours) et ceux dont on devra viser l’apprentissage.</w:t>
      </w:r>
    </w:p>
    <w:p w:rsidR="00A87160" w:rsidRPr="00694A11" w:rsidRDefault="00A87160" w:rsidP="00A87160">
      <w:pPr>
        <w:pStyle w:val="Paragraphedeliste"/>
        <w:numPr>
          <w:ilvl w:val="0"/>
          <w:numId w:val="3"/>
        </w:numPr>
        <w:spacing w:line="276" w:lineRule="auto"/>
        <w:jc w:val="both"/>
      </w:pPr>
      <w:r w:rsidRPr="00694A11">
        <w:t>Élaborer une séquence didactique permettant aux élèves de construire des savoirs liés à la fonction polynomiale du second degré</w:t>
      </w:r>
      <w:r w:rsidR="00C13155">
        <w:t>.</w:t>
      </w:r>
      <w:r w:rsidRPr="00694A11">
        <w:t> </w:t>
      </w:r>
    </w:p>
    <w:p w:rsidR="00A87160" w:rsidRPr="00694A11" w:rsidRDefault="00A87160" w:rsidP="00A87160">
      <w:pPr>
        <w:pStyle w:val="Paragraphedeliste"/>
        <w:numPr>
          <w:ilvl w:val="0"/>
          <w:numId w:val="3"/>
        </w:numPr>
        <w:spacing w:line="276" w:lineRule="auto"/>
        <w:jc w:val="both"/>
      </w:pPr>
      <w:r w:rsidRPr="00694A11">
        <w:t>Prendre conscience des choix pédagogiques (formules pédagogiques) et didactiques (objets d’apprentissage : concepts, processus et/ou stratégies) offerts à l’enseignant.</w:t>
      </w:r>
    </w:p>
    <w:p w:rsidR="00A87160" w:rsidRPr="00694A11" w:rsidRDefault="00A87160" w:rsidP="00A87160"/>
    <w:p w:rsidR="00A87160" w:rsidRPr="00694A11" w:rsidRDefault="00A87160" w:rsidP="00A87160"/>
    <w:p w:rsidR="00A87160" w:rsidRPr="00694A11" w:rsidRDefault="00A87160" w:rsidP="00A87160">
      <w:pPr>
        <w:rPr>
          <w:rFonts w:asciiTheme="majorHAnsi" w:eastAsiaTheme="majorEastAsia" w:hAnsiTheme="majorHAnsi" w:cstheme="majorBidi"/>
          <w:b/>
          <w:bCs/>
          <w:sz w:val="26"/>
          <w:szCs w:val="26"/>
        </w:rPr>
      </w:pPr>
      <w:r w:rsidRPr="00694A11">
        <w:br w:type="page"/>
      </w:r>
    </w:p>
    <w:p w:rsidR="00A87160" w:rsidRPr="00694A11" w:rsidRDefault="00A87160" w:rsidP="00A87160">
      <w:pPr>
        <w:pStyle w:val="Titre2"/>
        <w:rPr>
          <w:color w:val="auto"/>
        </w:rPr>
      </w:pPr>
      <w:r w:rsidRPr="00694A11">
        <w:rPr>
          <w:color w:val="auto"/>
        </w:rPr>
        <w:lastRenderedPageBreak/>
        <w:t>Le rendement agricole</w:t>
      </w:r>
    </w:p>
    <w:p w:rsidR="00A87160" w:rsidRPr="00694A11" w:rsidRDefault="00A87160" w:rsidP="00A87160">
      <w:pPr>
        <w:spacing w:line="276" w:lineRule="auto"/>
        <w:jc w:val="both"/>
        <w:rPr>
          <w:rFonts w:cs="Helvetica Neue"/>
          <w:sz w:val="20"/>
          <w:szCs w:val="20"/>
        </w:rPr>
      </w:pPr>
    </w:p>
    <w:p w:rsidR="00A87160" w:rsidRPr="00694A11" w:rsidRDefault="00A87160" w:rsidP="00A87160">
      <w:pPr>
        <w:spacing w:line="276" w:lineRule="auto"/>
        <w:jc w:val="both"/>
        <w:rPr>
          <w:rFonts w:cs="Helvetica Neue"/>
          <w:sz w:val="20"/>
          <w:szCs w:val="20"/>
        </w:rPr>
      </w:pPr>
      <w:r w:rsidRPr="00694A11">
        <w:rPr>
          <w:rFonts w:cs="Helvetica Neue"/>
          <w:noProof/>
          <w:sz w:val="20"/>
          <w:szCs w:val="20"/>
          <w:lang w:val="fr-CA" w:eastAsia="fr-CA"/>
        </w:rPr>
        <w:drawing>
          <wp:anchor distT="0" distB="0" distL="114300" distR="114300" simplePos="0" relativeHeight="251659264" behindDoc="0" locked="0" layoutInCell="1" allowOverlap="1" wp14:anchorId="29F9BD7B" wp14:editId="6CE6F2CB">
            <wp:simplePos x="0" y="0"/>
            <wp:positionH relativeFrom="column">
              <wp:posOffset>0</wp:posOffset>
            </wp:positionH>
            <wp:positionV relativeFrom="paragraph">
              <wp:posOffset>45085</wp:posOffset>
            </wp:positionV>
            <wp:extent cx="1449070" cy="2171700"/>
            <wp:effectExtent l="0" t="0" r="0" b="1270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Dawn-Over-A-Field-Of-Wheat-And-67325653.jpg"/>
                    <pic:cNvPicPr/>
                  </pic:nvPicPr>
                  <pic:blipFill>
                    <a:blip r:embed="rId7">
                      <a:extLst>
                        <a:ext uri="{28A0092B-C50C-407E-A947-70E740481C1C}">
                          <a14:useLocalDpi xmlns:a14="http://schemas.microsoft.com/office/drawing/2010/main" val="0"/>
                        </a:ext>
                      </a:extLst>
                    </a:blip>
                    <a:stretch>
                      <a:fillRect/>
                    </a:stretch>
                  </pic:blipFill>
                  <pic:spPr>
                    <a:xfrm>
                      <a:off x="0" y="0"/>
                      <a:ext cx="1449070" cy="2171700"/>
                    </a:xfrm>
                    <a:prstGeom prst="rect">
                      <a:avLst/>
                    </a:prstGeom>
                  </pic:spPr>
                </pic:pic>
              </a:graphicData>
            </a:graphic>
            <wp14:sizeRelH relativeFrom="page">
              <wp14:pctWidth>0</wp14:pctWidth>
            </wp14:sizeRelH>
            <wp14:sizeRelV relativeFrom="page">
              <wp14:pctHeight>0</wp14:pctHeight>
            </wp14:sizeRelV>
          </wp:anchor>
        </w:drawing>
      </w:r>
      <w:r w:rsidRPr="00694A11">
        <w:rPr>
          <w:rFonts w:cs="Helvetica Neue"/>
          <w:sz w:val="20"/>
          <w:szCs w:val="20"/>
        </w:rPr>
        <w:t>Déterminer le rendement d’une culture est un vrai casse-tête pour les agriculteurs. En fait, il faut tenir compte de la concentration d’azote disponible dans les engrais en fonction de la superficie du champ, du type de culture, du type d’engrais contenant l’azote (</w:t>
      </w:r>
      <w:proofErr w:type="spellStart"/>
      <w:r w:rsidRPr="00694A11">
        <w:rPr>
          <w:rFonts w:cs="Helvetica Neue"/>
          <w:sz w:val="20"/>
          <w:szCs w:val="20"/>
        </w:rPr>
        <w:t>ammonitrates</w:t>
      </w:r>
      <w:proofErr w:type="spellEnd"/>
      <w:r w:rsidRPr="00694A11">
        <w:rPr>
          <w:rFonts w:cs="Helvetica Neue"/>
          <w:sz w:val="20"/>
          <w:szCs w:val="20"/>
        </w:rPr>
        <w:t>, urée, etc.), bref, ce n’est pas simple !</w:t>
      </w:r>
    </w:p>
    <w:p w:rsidR="00A87160" w:rsidRPr="00694A11" w:rsidRDefault="00A87160" w:rsidP="00A87160">
      <w:pPr>
        <w:spacing w:line="276" w:lineRule="auto"/>
        <w:jc w:val="both"/>
        <w:rPr>
          <w:rFonts w:cs="Helvetica Neue"/>
          <w:sz w:val="20"/>
          <w:szCs w:val="20"/>
        </w:rPr>
      </w:pPr>
    </w:p>
    <w:p w:rsidR="00A87160" w:rsidRPr="00694A11" w:rsidRDefault="00A87160" w:rsidP="00A87160">
      <w:pPr>
        <w:spacing w:line="276" w:lineRule="auto"/>
        <w:jc w:val="both"/>
        <w:rPr>
          <w:rFonts w:cs="Helvetica Neue"/>
          <w:sz w:val="20"/>
          <w:szCs w:val="20"/>
        </w:rPr>
      </w:pPr>
      <w:r w:rsidRPr="00694A11">
        <w:rPr>
          <w:rFonts w:cs="Helvetica Neue"/>
          <w:sz w:val="20"/>
          <w:szCs w:val="20"/>
        </w:rPr>
        <w:t>L’azote doit être disponible en quantité suffisante pour ne pas limiter la croissance et le rendement du champ. Par contre, une utilisation trop excessive d’azote peut nuire à l’environnement et  à la croissance des plants. Contrôler l’apport d’azote en fonction des besoins du type de culture et du sol permet d’améliorer le rendement dans une perspective de développement durable.</w:t>
      </w:r>
    </w:p>
    <w:p w:rsidR="00A87160" w:rsidRPr="00694A11" w:rsidRDefault="00A87160" w:rsidP="00A87160">
      <w:pPr>
        <w:spacing w:line="276" w:lineRule="auto"/>
        <w:jc w:val="both"/>
        <w:rPr>
          <w:rFonts w:cs="Helvetica Neue"/>
          <w:sz w:val="20"/>
          <w:szCs w:val="20"/>
        </w:rPr>
      </w:pPr>
    </w:p>
    <w:p w:rsidR="00A87160" w:rsidRPr="00694A11" w:rsidRDefault="00A87160" w:rsidP="00A87160">
      <w:pPr>
        <w:spacing w:line="276" w:lineRule="auto"/>
        <w:jc w:val="both"/>
        <w:rPr>
          <w:rFonts w:cs="Helvetica Neue"/>
          <w:b/>
          <w:i/>
          <w:sz w:val="20"/>
          <w:szCs w:val="20"/>
        </w:rPr>
      </w:pPr>
      <w:r w:rsidRPr="00694A11">
        <w:rPr>
          <w:rFonts w:cs="Helvetica Neue"/>
          <w:noProof/>
          <w:sz w:val="20"/>
          <w:szCs w:val="20"/>
          <w:lang w:val="fr-CA" w:eastAsia="fr-CA"/>
        </w:rPr>
        <w:drawing>
          <wp:anchor distT="0" distB="0" distL="114300" distR="114300" simplePos="0" relativeHeight="251660288" behindDoc="0" locked="0" layoutInCell="1" allowOverlap="1" wp14:anchorId="72FD5126" wp14:editId="7B1F254C">
            <wp:simplePos x="0" y="0"/>
            <wp:positionH relativeFrom="column">
              <wp:posOffset>2094230</wp:posOffset>
            </wp:positionH>
            <wp:positionV relativeFrom="paragraph">
              <wp:posOffset>25400</wp:posOffset>
            </wp:positionV>
            <wp:extent cx="2286000" cy="15240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Agriculture-Farmer-Or-Agronom-96403376.jpg"/>
                    <pic:cNvPicPr/>
                  </pic:nvPicPr>
                  <pic:blipFill>
                    <a:blip r:embed="rId8">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14:sizeRelH relativeFrom="page">
              <wp14:pctWidth>0</wp14:pctWidth>
            </wp14:sizeRelH>
            <wp14:sizeRelV relativeFrom="page">
              <wp14:pctHeight>0</wp14:pctHeight>
            </wp14:sizeRelV>
          </wp:anchor>
        </w:drawing>
      </w:r>
      <w:r w:rsidRPr="00694A11">
        <w:rPr>
          <w:rFonts w:cs="Helvetica Neue"/>
          <w:sz w:val="20"/>
          <w:szCs w:val="20"/>
        </w:rPr>
        <w:t xml:space="preserve">En vue d’aider les agriculteurs à mieux prévoir et contrôler leurs récoltes, des chercheurs universitaires mettent en place des groupes d’études dont la responsabilité est de </w:t>
      </w:r>
      <w:r w:rsidRPr="00694A11">
        <w:rPr>
          <w:rFonts w:cs="Helvetica Neue"/>
          <w:b/>
          <w:i/>
          <w:sz w:val="20"/>
          <w:szCs w:val="20"/>
        </w:rPr>
        <w:t xml:space="preserve">déterminer la quantité d’azote nécessaire, pour un rendement maximal en fonction de la superficie du champ cultivé.  </w:t>
      </w:r>
    </w:p>
    <w:p w:rsidR="00A87160" w:rsidRPr="00694A11" w:rsidRDefault="00A87160" w:rsidP="00A87160">
      <w:pPr>
        <w:spacing w:line="276" w:lineRule="auto"/>
        <w:jc w:val="both"/>
        <w:rPr>
          <w:rFonts w:cs="Helvetica Neue"/>
          <w:sz w:val="20"/>
          <w:szCs w:val="20"/>
        </w:rPr>
      </w:pPr>
    </w:p>
    <w:p w:rsidR="00A87160" w:rsidRPr="00694A11" w:rsidRDefault="00A87160" w:rsidP="00A87160">
      <w:pPr>
        <w:spacing w:line="276" w:lineRule="auto"/>
        <w:jc w:val="both"/>
        <w:rPr>
          <w:rFonts w:cs="Helvetica Neue"/>
          <w:sz w:val="20"/>
          <w:szCs w:val="20"/>
        </w:rPr>
      </w:pPr>
      <w:r w:rsidRPr="00694A11">
        <w:rPr>
          <w:rFonts w:cs="Helvetica Neue"/>
          <w:sz w:val="20"/>
          <w:szCs w:val="20"/>
        </w:rPr>
        <w:t xml:space="preserve">Pour la culture de l’orge, le rendement est de 68% (c’est-à-dire que seulement 68% des semis initiaux produisent des plants viables) sans ajout de fertilisant azoté. En ajoutant méthodiquement une quantité d’azote par hectare, les techniciens en agriculture ont colligé les mesures du rendement dans le tableau ci-dessous. </w:t>
      </w:r>
    </w:p>
    <w:p w:rsidR="00A87160" w:rsidRPr="00694A11" w:rsidRDefault="00A87160" w:rsidP="00A87160">
      <w:pPr>
        <w:spacing w:line="276" w:lineRule="auto"/>
        <w:jc w:val="both"/>
        <w:rPr>
          <w:rFonts w:cs="Helvetica Neue"/>
          <w:sz w:val="16"/>
          <w:szCs w:val="16"/>
        </w:rPr>
      </w:pPr>
    </w:p>
    <w:p w:rsidR="00A87160" w:rsidRPr="00694A11" w:rsidRDefault="00A87160" w:rsidP="00A87160">
      <w:pPr>
        <w:spacing w:line="276" w:lineRule="auto"/>
        <w:jc w:val="both"/>
        <w:rPr>
          <w:rFonts w:cs="Helvetica Neue"/>
          <w:b/>
          <w:sz w:val="20"/>
          <w:szCs w:val="20"/>
        </w:rPr>
      </w:pPr>
      <w:r w:rsidRPr="00694A11">
        <w:rPr>
          <w:rFonts w:cs="Helvetica Neue"/>
          <w:b/>
          <w:sz w:val="20"/>
          <w:szCs w:val="20"/>
        </w:rPr>
        <w:t>Mesure du</w:t>
      </w:r>
      <w:r w:rsidRPr="00694A11">
        <w:rPr>
          <w:rFonts w:cs="Helvetica Neue"/>
          <w:sz w:val="20"/>
          <w:szCs w:val="20"/>
        </w:rPr>
        <w:t xml:space="preserve"> </w:t>
      </w:r>
      <w:r w:rsidR="004E57E0" w:rsidRPr="00694A11">
        <w:rPr>
          <w:rFonts w:cs="Helvetica Neue"/>
          <w:b/>
          <w:sz w:val="20"/>
          <w:szCs w:val="20"/>
        </w:rPr>
        <w:t xml:space="preserve">rendement de la production </w:t>
      </w:r>
      <w:r w:rsidRPr="00694A11">
        <w:rPr>
          <w:rFonts w:cs="Helvetica Neue"/>
          <w:b/>
          <w:sz w:val="20"/>
          <w:szCs w:val="20"/>
        </w:rPr>
        <w:t xml:space="preserve">d’orge en </w:t>
      </w:r>
      <w:r w:rsidR="004E57E0" w:rsidRPr="00694A11">
        <w:rPr>
          <w:rFonts w:cs="Helvetica Neue"/>
          <w:b/>
          <w:sz w:val="20"/>
          <w:szCs w:val="20"/>
        </w:rPr>
        <w:t xml:space="preserve">fonction de la quantité d’azote </w:t>
      </w:r>
      <w:r w:rsidRPr="00694A11">
        <w:rPr>
          <w:rFonts w:cs="Helvetica Neue"/>
          <w:b/>
          <w:sz w:val="20"/>
          <w:szCs w:val="20"/>
        </w:rPr>
        <w:t>utilisé</w:t>
      </w:r>
      <w:r w:rsidR="00C13155">
        <w:rPr>
          <w:rFonts w:cs="Helvetica Neue"/>
          <w:b/>
          <w:sz w:val="20"/>
          <w:szCs w:val="20"/>
        </w:rPr>
        <w:t>e</w:t>
      </w:r>
      <w:bookmarkStart w:id="0" w:name="_GoBack"/>
      <w:bookmarkEnd w:id="0"/>
      <w:r w:rsidRPr="00694A11">
        <w:rPr>
          <w:rFonts w:cs="Helvetica Neue"/>
          <w:b/>
          <w:sz w:val="20"/>
          <w:szCs w:val="20"/>
        </w:rPr>
        <w:t xml:space="preserve"> (kg / hectare).</w:t>
      </w:r>
    </w:p>
    <w:p w:rsidR="00A87160" w:rsidRPr="00694A11" w:rsidRDefault="00694A11" w:rsidP="00A87160">
      <w:pPr>
        <w:spacing w:line="276" w:lineRule="auto"/>
        <w:jc w:val="both"/>
        <w:rPr>
          <w:rFonts w:cs="Helvetica Neue"/>
          <w:sz w:val="20"/>
          <w:szCs w:val="20"/>
        </w:rPr>
      </w:pPr>
      <w:r w:rsidRPr="00694A11">
        <w:rPr>
          <w:rFonts w:cs="Helvetica Neue"/>
          <w:noProof/>
          <w:sz w:val="20"/>
          <w:szCs w:val="20"/>
          <w:lang w:val="fr-CA" w:eastAsia="fr-CA"/>
        </w:rPr>
        <w:drawing>
          <wp:anchor distT="0" distB="0" distL="114300" distR="114300" simplePos="0" relativeHeight="251661312" behindDoc="0" locked="0" layoutInCell="1" allowOverlap="1" wp14:anchorId="74E6D69B" wp14:editId="56C3FE34">
            <wp:simplePos x="0" y="0"/>
            <wp:positionH relativeFrom="column">
              <wp:posOffset>2400300</wp:posOffset>
            </wp:positionH>
            <wp:positionV relativeFrom="paragraph">
              <wp:posOffset>10160</wp:posOffset>
            </wp:positionV>
            <wp:extent cx="3547110" cy="2931160"/>
            <wp:effectExtent l="0" t="0" r="889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1-14 à 15.35.59.png"/>
                    <pic:cNvPicPr/>
                  </pic:nvPicPr>
                  <pic:blipFill>
                    <a:blip r:embed="rId9">
                      <a:extLst>
                        <a:ext uri="{28A0092B-C50C-407E-A947-70E740481C1C}">
                          <a14:useLocalDpi xmlns:a14="http://schemas.microsoft.com/office/drawing/2010/main" val="0"/>
                        </a:ext>
                      </a:extLst>
                    </a:blip>
                    <a:stretch>
                      <a:fillRect/>
                    </a:stretch>
                  </pic:blipFill>
                  <pic:spPr>
                    <a:xfrm>
                      <a:off x="0" y="0"/>
                      <a:ext cx="3547110" cy="2931160"/>
                    </a:xfrm>
                    <a:prstGeom prst="rect">
                      <a:avLst/>
                    </a:prstGeom>
                  </pic:spPr>
                </pic:pic>
              </a:graphicData>
            </a:graphic>
            <wp14:sizeRelH relativeFrom="page">
              <wp14:pctWidth>0</wp14:pctWidth>
            </wp14:sizeRelH>
            <wp14:sizeRelV relativeFrom="page">
              <wp14:pctHeight>0</wp14:pctHeight>
            </wp14:sizeRelV>
          </wp:anchor>
        </w:drawing>
      </w:r>
    </w:p>
    <w:tbl>
      <w:tblPr>
        <w:tblStyle w:val="Ombrageclair"/>
        <w:tblpPr w:leftFromText="141" w:rightFromText="141" w:vertAnchor="text" w:tblpY="1"/>
        <w:tblOverlap w:val="never"/>
        <w:tblW w:w="3085" w:type="dxa"/>
        <w:tblLayout w:type="fixed"/>
        <w:tblLook w:val="04A0" w:firstRow="1" w:lastRow="0" w:firstColumn="1" w:lastColumn="0" w:noHBand="0" w:noVBand="1"/>
      </w:tblPr>
      <w:tblGrid>
        <w:gridCol w:w="1668"/>
        <w:gridCol w:w="1417"/>
      </w:tblGrid>
      <w:tr w:rsidR="00A87160" w:rsidRPr="00694A11" w:rsidTr="00694A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A87160" w:rsidRPr="00694A11" w:rsidRDefault="00A87160" w:rsidP="00694A11">
            <w:pPr>
              <w:ind w:left="142"/>
              <w:jc w:val="center"/>
              <w:rPr>
                <w:rFonts w:ascii="Calibri" w:eastAsia="Times New Roman" w:hAnsi="Calibri" w:cs="Times New Roman"/>
                <w:color w:val="auto"/>
                <w:sz w:val="20"/>
                <w:szCs w:val="20"/>
                <w:lang w:val="fr-CA"/>
              </w:rPr>
            </w:pPr>
            <w:r w:rsidRPr="00694A11">
              <w:rPr>
                <w:rFonts w:ascii="Calibri" w:eastAsia="Times New Roman" w:hAnsi="Calibri" w:cs="Times New Roman"/>
                <w:color w:val="auto"/>
                <w:sz w:val="20"/>
                <w:szCs w:val="20"/>
                <w:lang w:val="fr-CA"/>
              </w:rPr>
              <w:t>Quantité d’azote (kg/ha)</w:t>
            </w:r>
          </w:p>
        </w:tc>
        <w:tc>
          <w:tcPr>
            <w:tcW w:w="1417" w:type="dxa"/>
            <w:noWrap/>
            <w:hideMark/>
          </w:tcPr>
          <w:p w:rsidR="00A87160" w:rsidRPr="00694A11" w:rsidRDefault="00A87160" w:rsidP="00694A11">
            <w:pPr>
              <w:ind w:left="142"/>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fr-CA"/>
              </w:rPr>
            </w:pPr>
            <w:r w:rsidRPr="00694A11">
              <w:rPr>
                <w:rFonts w:ascii="Calibri" w:eastAsia="Times New Roman" w:hAnsi="Calibri" w:cs="Times New Roman"/>
                <w:color w:val="auto"/>
                <w:sz w:val="20"/>
                <w:szCs w:val="20"/>
                <w:lang w:val="fr-CA"/>
              </w:rPr>
              <w:t>Rendement (%)</w:t>
            </w:r>
          </w:p>
        </w:tc>
      </w:tr>
      <w:tr w:rsidR="00A87160" w:rsidRPr="00694A11" w:rsidTr="00694A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A87160" w:rsidRPr="00694A11" w:rsidRDefault="00A87160" w:rsidP="00694A11">
            <w:pPr>
              <w:ind w:left="142"/>
              <w:jc w:val="center"/>
              <w:rPr>
                <w:rFonts w:ascii="Calibri" w:eastAsia="Times New Roman" w:hAnsi="Calibri" w:cs="Times New Roman"/>
                <w:b w:val="0"/>
                <w:color w:val="auto"/>
                <w:sz w:val="20"/>
                <w:szCs w:val="20"/>
                <w:lang w:val="fr-CA"/>
              </w:rPr>
            </w:pPr>
            <w:r w:rsidRPr="00694A11">
              <w:rPr>
                <w:rFonts w:ascii="Calibri" w:eastAsia="Times New Roman" w:hAnsi="Calibri" w:cs="Times New Roman"/>
                <w:b w:val="0"/>
                <w:color w:val="auto"/>
                <w:sz w:val="20"/>
                <w:szCs w:val="20"/>
                <w:lang w:val="fr-CA"/>
              </w:rPr>
              <w:t xml:space="preserve"> 20,0</w:t>
            </w:r>
          </w:p>
        </w:tc>
        <w:tc>
          <w:tcPr>
            <w:tcW w:w="1417" w:type="dxa"/>
            <w:noWrap/>
            <w:hideMark/>
          </w:tcPr>
          <w:p w:rsidR="00A87160" w:rsidRPr="00694A11" w:rsidRDefault="00A87160" w:rsidP="00694A11">
            <w:pPr>
              <w:ind w:left="142"/>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fr-CA"/>
              </w:rPr>
            </w:pPr>
            <w:r w:rsidRPr="00694A11">
              <w:rPr>
                <w:rFonts w:ascii="Calibri" w:eastAsia="Times New Roman" w:hAnsi="Calibri" w:cs="Times New Roman"/>
                <w:color w:val="auto"/>
                <w:sz w:val="20"/>
                <w:szCs w:val="20"/>
                <w:lang w:val="fr-CA"/>
              </w:rPr>
              <w:t>77,6</w:t>
            </w:r>
          </w:p>
        </w:tc>
      </w:tr>
      <w:tr w:rsidR="00A87160" w:rsidRPr="00694A11" w:rsidTr="00694A11">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A87160" w:rsidRPr="00694A11" w:rsidRDefault="00A87160" w:rsidP="00694A11">
            <w:pPr>
              <w:ind w:left="142"/>
              <w:jc w:val="center"/>
              <w:rPr>
                <w:rFonts w:ascii="Calibri" w:eastAsia="Times New Roman" w:hAnsi="Calibri" w:cs="Times New Roman"/>
                <w:b w:val="0"/>
                <w:color w:val="auto"/>
                <w:sz w:val="20"/>
                <w:szCs w:val="20"/>
                <w:lang w:val="fr-CA"/>
              </w:rPr>
            </w:pPr>
            <w:r w:rsidRPr="00694A11">
              <w:rPr>
                <w:rFonts w:ascii="Calibri" w:eastAsia="Times New Roman" w:hAnsi="Calibri" w:cs="Times New Roman"/>
                <w:b w:val="0"/>
                <w:color w:val="auto"/>
                <w:sz w:val="20"/>
                <w:szCs w:val="20"/>
                <w:lang w:val="fr-CA"/>
              </w:rPr>
              <w:t>40,0</w:t>
            </w:r>
          </w:p>
        </w:tc>
        <w:tc>
          <w:tcPr>
            <w:tcW w:w="1417" w:type="dxa"/>
            <w:noWrap/>
            <w:hideMark/>
          </w:tcPr>
          <w:p w:rsidR="00A87160" w:rsidRPr="00694A11" w:rsidRDefault="00A87160" w:rsidP="00694A11">
            <w:pPr>
              <w:ind w:left="142"/>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fr-CA"/>
              </w:rPr>
            </w:pPr>
            <w:r w:rsidRPr="00694A11">
              <w:rPr>
                <w:rFonts w:ascii="Calibri" w:eastAsia="Times New Roman" w:hAnsi="Calibri" w:cs="Times New Roman"/>
                <w:color w:val="auto"/>
                <w:sz w:val="20"/>
                <w:szCs w:val="20"/>
                <w:lang w:val="fr-CA"/>
              </w:rPr>
              <w:t>86,4</w:t>
            </w:r>
          </w:p>
        </w:tc>
      </w:tr>
      <w:tr w:rsidR="00A87160" w:rsidRPr="00694A11" w:rsidTr="00694A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A87160" w:rsidRPr="00694A11" w:rsidRDefault="00A87160" w:rsidP="00694A11">
            <w:pPr>
              <w:ind w:left="142"/>
              <w:jc w:val="center"/>
              <w:rPr>
                <w:rFonts w:ascii="Calibri" w:eastAsia="Times New Roman" w:hAnsi="Calibri" w:cs="Times New Roman"/>
                <w:b w:val="0"/>
                <w:color w:val="auto"/>
                <w:sz w:val="20"/>
                <w:szCs w:val="20"/>
                <w:lang w:val="fr-CA"/>
              </w:rPr>
            </w:pPr>
            <w:r w:rsidRPr="00694A11">
              <w:rPr>
                <w:rFonts w:ascii="Calibri" w:eastAsia="Times New Roman" w:hAnsi="Calibri" w:cs="Times New Roman"/>
                <w:b w:val="0"/>
                <w:color w:val="auto"/>
                <w:sz w:val="20"/>
                <w:szCs w:val="20"/>
                <w:lang w:val="fr-CA"/>
              </w:rPr>
              <w:t>60,0</w:t>
            </w:r>
          </w:p>
        </w:tc>
        <w:tc>
          <w:tcPr>
            <w:tcW w:w="1417" w:type="dxa"/>
            <w:noWrap/>
            <w:hideMark/>
          </w:tcPr>
          <w:p w:rsidR="00A87160" w:rsidRPr="00694A11" w:rsidRDefault="00A87160" w:rsidP="00694A11">
            <w:pPr>
              <w:ind w:left="142"/>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fr-CA"/>
              </w:rPr>
            </w:pPr>
            <w:r w:rsidRPr="00694A11">
              <w:rPr>
                <w:rFonts w:ascii="Calibri" w:eastAsia="Times New Roman" w:hAnsi="Calibri" w:cs="Times New Roman"/>
                <w:color w:val="auto"/>
                <w:sz w:val="20"/>
                <w:szCs w:val="20"/>
                <w:lang w:val="fr-CA"/>
              </w:rPr>
              <w:t>94,4</w:t>
            </w:r>
          </w:p>
        </w:tc>
      </w:tr>
      <w:tr w:rsidR="00A87160" w:rsidRPr="00694A11" w:rsidTr="00694A11">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A87160" w:rsidRPr="00694A11" w:rsidRDefault="00A87160" w:rsidP="00694A11">
            <w:pPr>
              <w:ind w:left="142"/>
              <w:jc w:val="center"/>
              <w:rPr>
                <w:rFonts w:ascii="Calibri" w:eastAsia="Times New Roman" w:hAnsi="Calibri" w:cs="Times New Roman"/>
                <w:b w:val="0"/>
                <w:color w:val="auto"/>
                <w:sz w:val="20"/>
                <w:szCs w:val="20"/>
                <w:lang w:val="fr-CA"/>
              </w:rPr>
            </w:pPr>
            <w:r w:rsidRPr="00694A11">
              <w:rPr>
                <w:rFonts w:ascii="Calibri" w:eastAsia="Times New Roman" w:hAnsi="Calibri" w:cs="Times New Roman"/>
                <w:b w:val="0"/>
                <w:color w:val="auto"/>
                <w:sz w:val="20"/>
                <w:szCs w:val="20"/>
                <w:lang w:val="fr-CA"/>
              </w:rPr>
              <w:t>80,0</w:t>
            </w:r>
          </w:p>
        </w:tc>
        <w:tc>
          <w:tcPr>
            <w:tcW w:w="1417" w:type="dxa"/>
            <w:noWrap/>
            <w:hideMark/>
          </w:tcPr>
          <w:p w:rsidR="00A87160" w:rsidRPr="00694A11" w:rsidRDefault="00A87160" w:rsidP="00694A11">
            <w:pPr>
              <w:ind w:left="142"/>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fr-CA"/>
              </w:rPr>
            </w:pPr>
            <w:r w:rsidRPr="00694A11">
              <w:rPr>
                <w:rFonts w:ascii="Calibri" w:eastAsia="Times New Roman" w:hAnsi="Calibri" w:cs="Times New Roman"/>
                <w:color w:val="auto"/>
                <w:sz w:val="20"/>
                <w:szCs w:val="20"/>
                <w:lang w:val="fr-CA"/>
              </w:rPr>
              <w:t>101,6</w:t>
            </w:r>
          </w:p>
        </w:tc>
      </w:tr>
      <w:tr w:rsidR="00A87160" w:rsidRPr="00694A11" w:rsidTr="00694A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A87160" w:rsidRPr="00694A11" w:rsidRDefault="00A87160" w:rsidP="00694A11">
            <w:pPr>
              <w:ind w:left="142"/>
              <w:jc w:val="center"/>
              <w:rPr>
                <w:rFonts w:ascii="Calibri" w:eastAsia="Times New Roman" w:hAnsi="Calibri" w:cs="Times New Roman"/>
                <w:b w:val="0"/>
                <w:color w:val="auto"/>
                <w:sz w:val="20"/>
                <w:szCs w:val="20"/>
                <w:lang w:val="fr-CA"/>
              </w:rPr>
            </w:pPr>
            <w:r w:rsidRPr="00694A11">
              <w:rPr>
                <w:rFonts w:ascii="Calibri" w:eastAsia="Times New Roman" w:hAnsi="Calibri" w:cs="Times New Roman"/>
                <w:b w:val="0"/>
                <w:color w:val="auto"/>
                <w:sz w:val="20"/>
                <w:szCs w:val="20"/>
                <w:lang w:val="fr-CA"/>
              </w:rPr>
              <w:t>100,0</w:t>
            </w:r>
          </w:p>
        </w:tc>
        <w:tc>
          <w:tcPr>
            <w:tcW w:w="1417" w:type="dxa"/>
            <w:noWrap/>
            <w:hideMark/>
          </w:tcPr>
          <w:p w:rsidR="00A87160" w:rsidRPr="00694A11" w:rsidRDefault="00A87160" w:rsidP="00694A11">
            <w:pPr>
              <w:ind w:left="142"/>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fr-CA"/>
              </w:rPr>
            </w:pPr>
            <w:r w:rsidRPr="00694A11">
              <w:rPr>
                <w:rFonts w:ascii="Calibri" w:eastAsia="Times New Roman" w:hAnsi="Calibri" w:cs="Times New Roman"/>
                <w:color w:val="auto"/>
                <w:sz w:val="20"/>
                <w:szCs w:val="20"/>
                <w:lang w:val="fr-CA"/>
              </w:rPr>
              <w:t>108,0</w:t>
            </w:r>
          </w:p>
        </w:tc>
      </w:tr>
      <w:tr w:rsidR="00A87160" w:rsidRPr="00694A11" w:rsidTr="00694A11">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A87160" w:rsidRPr="00694A11" w:rsidRDefault="00A87160" w:rsidP="00694A11">
            <w:pPr>
              <w:ind w:left="142"/>
              <w:jc w:val="center"/>
              <w:rPr>
                <w:rFonts w:ascii="Calibri" w:eastAsia="Times New Roman" w:hAnsi="Calibri" w:cs="Times New Roman"/>
                <w:b w:val="0"/>
                <w:color w:val="auto"/>
                <w:sz w:val="20"/>
                <w:szCs w:val="20"/>
                <w:lang w:val="fr-CA"/>
              </w:rPr>
            </w:pPr>
            <w:r w:rsidRPr="00694A11">
              <w:rPr>
                <w:rFonts w:ascii="Calibri" w:eastAsia="Times New Roman" w:hAnsi="Calibri" w:cs="Times New Roman"/>
                <w:b w:val="0"/>
                <w:color w:val="auto"/>
                <w:sz w:val="20"/>
                <w:szCs w:val="20"/>
                <w:lang w:val="fr-CA"/>
              </w:rPr>
              <w:t>120,0</w:t>
            </w:r>
          </w:p>
        </w:tc>
        <w:tc>
          <w:tcPr>
            <w:tcW w:w="1417" w:type="dxa"/>
            <w:noWrap/>
            <w:hideMark/>
          </w:tcPr>
          <w:p w:rsidR="00A87160" w:rsidRPr="00694A11" w:rsidRDefault="00A87160" w:rsidP="00694A11">
            <w:pPr>
              <w:ind w:left="142"/>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fr-CA"/>
              </w:rPr>
            </w:pPr>
            <w:r w:rsidRPr="00694A11">
              <w:rPr>
                <w:rFonts w:ascii="Calibri" w:eastAsia="Times New Roman" w:hAnsi="Calibri" w:cs="Times New Roman"/>
                <w:color w:val="auto"/>
                <w:sz w:val="20"/>
                <w:szCs w:val="20"/>
                <w:lang w:val="fr-CA"/>
              </w:rPr>
              <w:t>113,6</w:t>
            </w:r>
          </w:p>
        </w:tc>
      </w:tr>
      <w:tr w:rsidR="00A87160" w:rsidRPr="00694A11" w:rsidTr="00694A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A87160" w:rsidRPr="00694A11" w:rsidRDefault="00A87160" w:rsidP="00694A11">
            <w:pPr>
              <w:ind w:left="142"/>
              <w:jc w:val="center"/>
              <w:rPr>
                <w:rFonts w:ascii="Calibri" w:eastAsia="Times New Roman" w:hAnsi="Calibri" w:cs="Times New Roman"/>
                <w:b w:val="0"/>
                <w:color w:val="auto"/>
                <w:sz w:val="20"/>
                <w:szCs w:val="20"/>
                <w:lang w:val="fr-CA"/>
              </w:rPr>
            </w:pPr>
            <w:r w:rsidRPr="00694A11">
              <w:rPr>
                <w:rFonts w:ascii="Calibri" w:eastAsia="Times New Roman" w:hAnsi="Calibri" w:cs="Times New Roman"/>
                <w:b w:val="0"/>
                <w:color w:val="auto"/>
                <w:sz w:val="20"/>
                <w:szCs w:val="20"/>
                <w:lang w:val="fr-CA"/>
              </w:rPr>
              <w:t>140,0</w:t>
            </w:r>
          </w:p>
        </w:tc>
        <w:tc>
          <w:tcPr>
            <w:tcW w:w="1417" w:type="dxa"/>
            <w:noWrap/>
            <w:hideMark/>
          </w:tcPr>
          <w:p w:rsidR="00A87160" w:rsidRPr="00694A11" w:rsidRDefault="00A87160" w:rsidP="00694A11">
            <w:pPr>
              <w:ind w:left="142"/>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fr-CA"/>
              </w:rPr>
            </w:pPr>
            <w:r w:rsidRPr="00694A11">
              <w:rPr>
                <w:rFonts w:ascii="Calibri" w:eastAsia="Times New Roman" w:hAnsi="Calibri" w:cs="Times New Roman"/>
                <w:color w:val="auto"/>
                <w:sz w:val="20"/>
                <w:szCs w:val="20"/>
                <w:lang w:val="fr-CA"/>
              </w:rPr>
              <w:t>118,4</w:t>
            </w:r>
          </w:p>
        </w:tc>
      </w:tr>
      <w:tr w:rsidR="00A87160" w:rsidRPr="00694A11" w:rsidTr="00694A11">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A87160" w:rsidRPr="00694A11" w:rsidRDefault="00A87160" w:rsidP="00694A11">
            <w:pPr>
              <w:ind w:left="142"/>
              <w:jc w:val="center"/>
              <w:rPr>
                <w:rFonts w:ascii="Calibri" w:eastAsia="Times New Roman" w:hAnsi="Calibri" w:cs="Times New Roman"/>
                <w:b w:val="0"/>
                <w:color w:val="auto"/>
                <w:sz w:val="20"/>
                <w:szCs w:val="20"/>
                <w:lang w:val="fr-CA"/>
              </w:rPr>
            </w:pPr>
            <w:r w:rsidRPr="00694A11">
              <w:rPr>
                <w:rFonts w:ascii="Calibri" w:eastAsia="Times New Roman" w:hAnsi="Calibri" w:cs="Times New Roman"/>
                <w:b w:val="0"/>
                <w:color w:val="auto"/>
                <w:sz w:val="20"/>
                <w:szCs w:val="20"/>
                <w:lang w:val="fr-CA"/>
              </w:rPr>
              <w:t>160,0</w:t>
            </w:r>
          </w:p>
        </w:tc>
        <w:tc>
          <w:tcPr>
            <w:tcW w:w="1417" w:type="dxa"/>
            <w:noWrap/>
            <w:hideMark/>
          </w:tcPr>
          <w:p w:rsidR="00A87160" w:rsidRPr="00694A11" w:rsidRDefault="00A87160" w:rsidP="00694A11">
            <w:pPr>
              <w:ind w:left="142"/>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fr-CA"/>
              </w:rPr>
            </w:pPr>
            <w:r w:rsidRPr="00694A11">
              <w:rPr>
                <w:rFonts w:ascii="Calibri" w:eastAsia="Times New Roman" w:hAnsi="Calibri" w:cs="Times New Roman"/>
                <w:color w:val="auto"/>
                <w:sz w:val="20"/>
                <w:szCs w:val="20"/>
                <w:lang w:val="fr-CA"/>
              </w:rPr>
              <w:t>122,4</w:t>
            </w:r>
          </w:p>
        </w:tc>
      </w:tr>
      <w:tr w:rsidR="00A87160" w:rsidRPr="00694A11" w:rsidTr="00694A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A87160" w:rsidRPr="00694A11" w:rsidRDefault="00A87160" w:rsidP="00694A11">
            <w:pPr>
              <w:ind w:left="142"/>
              <w:jc w:val="center"/>
              <w:rPr>
                <w:rFonts w:ascii="Calibri" w:eastAsia="Times New Roman" w:hAnsi="Calibri" w:cs="Times New Roman"/>
                <w:b w:val="0"/>
                <w:color w:val="auto"/>
                <w:sz w:val="20"/>
                <w:szCs w:val="20"/>
                <w:lang w:val="fr-CA"/>
              </w:rPr>
            </w:pPr>
            <w:r w:rsidRPr="00694A11">
              <w:rPr>
                <w:rFonts w:ascii="Calibri" w:eastAsia="Times New Roman" w:hAnsi="Calibri" w:cs="Times New Roman"/>
                <w:b w:val="0"/>
                <w:color w:val="auto"/>
                <w:sz w:val="20"/>
                <w:szCs w:val="20"/>
                <w:lang w:val="fr-CA"/>
              </w:rPr>
              <w:t>180,0</w:t>
            </w:r>
          </w:p>
        </w:tc>
        <w:tc>
          <w:tcPr>
            <w:tcW w:w="1417" w:type="dxa"/>
            <w:noWrap/>
            <w:hideMark/>
          </w:tcPr>
          <w:p w:rsidR="00A87160" w:rsidRPr="00694A11" w:rsidRDefault="00A87160" w:rsidP="00694A11">
            <w:pPr>
              <w:ind w:left="142"/>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fr-CA"/>
              </w:rPr>
            </w:pPr>
            <w:r w:rsidRPr="00694A11">
              <w:rPr>
                <w:rFonts w:ascii="Calibri" w:eastAsia="Times New Roman" w:hAnsi="Calibri" w:cs="Times New Roman"/>
                <w:color w:val="auto"/>
                <w:sz w:val="20"/>
                <w:szCs w:val="20"/>
                <w:lang w:val="fr-CA"/>
              </w:rPr>
              <w:t>125,6</w:t>
            </w:r>
          </w:p>
        </w:tc>
      </w:tr>
      <w:tr w:rsidR="00A87160" w:rsidRPr="00694A11" w:rsidTr="00694A11">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rsidR="00A87160" w:rsidRPr="00694A11" w:rsidRDefault="00A87160" w:rsidP="00694A11">
            <w:pPr>
              <w:ind w:left="142"/>
              <w:jc w:val="center"/>
              <w:rPr>
                <w:rFonts w:ascii="Calibri" w:eastAsia="Times New Roman" w:hAnsi="Calibri" w:cs="Times New Roman"/>
                <w:b w:val="0"/>
                <w:color w:val="auto"/>
                <w:sz w:val="20"/>
                <w:szCs w:val="20"/>
                <w:lang w:val="fr-CA"/>
              </w:rPr>
            </w:pPr>
            <w:r w:rsidRPr="00694A11">
              <w:rPr>
                <w:rFonts w:ascii="Calibri" w:eastAsia="Times New Roman" w:hAnsi="Calibri" w:cs="Times New Roman"/>
                <w:b w:val="0"/>
                <w:color w:val="auto"/>
                <w:sz w:val="20"/>
                <w:szCs w:val="20"/>
                <w:lang w:val="fr-CA"/>
              </w:rPr>
              <w:t>200,0</w:t>
            </w:r>
          </w:p>
        </w:tc>
        <w:tc>
          <w:tcPr>
            <w:tcW w:w="1417" w:type="dxa"/>
            <w:noWrap/>
            <w:hideMark/>
          </w:tcPr>
          <w:p w:rsidR="00A87160" w:rsidRPr="00694A11" w:rsidRDefault="00A87160" w:rsidP="00694A11">
            <w:pPr>
              <w:ind w:left="142"/>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fr-CA"/>
              </w:rPr>
            </w:pPr>
            <w:r w:rsidRPr="00694A11">
              <w:rPr>
                <w:rFonts w:ascii="Calibri" w:eastAsia="Times New Roman" w:hAnsi="Calibri" w:cs="Times New Roman"/>
                <w:color w:val="auto"/>
                <w:sz w:val="20"/>
                <w:szCs w:val="20"/>
                <w:lang w:val="fr-CA"/>
              </w:rPr>
              <w:t>128,0</w:t>
            </w:r>
          </w:p>
        </w:tc>
      </w:tr>
    </w:tbl>
    <w:p w:rsidR="00A87160" w:rsidRPr="00694A11" w:rsidRDefault="00A87160" w:rsidP="00A87160">
      <w:pPr>
        <w:spacing w:line="276" w:lineRule="auto"/>
        <w:jc w:val="both"/>
        <w:rPr>
          <w:rFonts w:cs="Helvetica Neue"/>
          <w:sz w:val="20"/>
          <w:szCs w:val="20"/>
        </w:rPr>
      </w:pPr>
    </w:p>
    <w:p w:rsidR="00A87160" w:rsidRPr="00694A11" w:rsidRDefault="00A87160" w:rsidP="00A87160">
      <w:pPr>
        <w:spacing w:line="276" w:lineRule="auto"/>
        <w:jc w:val="both"/>
        <w:rPr>
          <w:rFonts w:cs="Helvetica Neue"/>
          <w:b/>
          <w:sz w:val="20"/>
          <w:szCs w:val="20"/>
        </w:rPr>
      </w:pPr>
    </w:p>
    <w:p w:rsidR="00A87160" w:rsidRPr="00694A11" w:rsidRDefault="00A87160" w:rsidP="00A87160">
      <w:pPr>
        <w:spacing w:line="276" w:lineRule="auto"/>
        <w:jc w:val="both"/>
        <w:rPr>
          <w:rFonts w:cs="Helvetica Neue"/>
          <w:b/>
          <w:sz w:val="20"/>
          <w:szCs w:val="20"/>
        </w:rPr>
      </w:pPr>
    </w:p>
    <w:p w:rsidR="00A87160" w:rsidRPr="00694A11" w:rsidRDefault="00A87160" w:rsidP="00A87160">
      <w:pPr>
        <w:spacing w:line="276" w:lineRule="auto"/>
        <w:jc w:val="both"/>
        <w:rPr>
          <w:rFonts w:cs="Helvetica Neue"/>
          <w:b/>
          <w:sz w:val="20"/>
          <w:szCs w:val="20"/>
        </w:rPr>
      </w:pPr>
    </w:p>
    <w:p w:rsidR="00A87160" w:rsidRPr="00694A11" w:rsidRDefault="00A87160" w:rsidP="00A87160">
      <w:pPr>
        <w:spacing w:line="276" w:lineRule="auto"/>
        <w:jc w:val="both"/>
        <w:rPr>
          <w:rFonts w:cs="Helvetica Neue"/>
          <w:b/>
          <w:sz w:val="20"/>
          <w:szCs w:val="20"/>
        </w:rPr>
      </w:pPr>
    </w:p>
    <w:p w:rsidR="00A87160" w:rsidRPr="00694A11" w:rsidRDefault="00A87160" w:rsidP="00A87160">
      <w:pPr>
        <w:spacing w:line="276" w:lineRule="auto"/>
        <w:jc w:val="both"/>
        <w:rPr>
          <w:rFonts w:cs="Helvetica Neue"/>
          <w:b/>
          <w:sz w:val="20"/>
          <w:szCs w:val="20"/>
        </w:rPr>
      </w:pPr>
    </w:p>
    <w:p w:rsidR="00A87160" w:rsidRPr="00694A11" w:rsidRDefault="00A87160" w:rsidP="00A87160">
      <w:pPr>
        <w:spacing w:line="276" w:lineRule="auto"/>
        <w:jc w:val="both"/>
        <w:rPr>
          <w:rFonts w:cs="Helvetica Neue"/>
          <w:b/>
          <w:sz w:val="20"/>
          <w:szCs w:val="20"/>
        </w:rPr>
      </w:pPr>
    </w:p>
    <w:p w:rsidR="00A87160" w:rsidRPr="00694A11" w:rsidRDefault="00A87160" w:rsidP="00A87160">
      <w:pPr>
        <w:spacing w:line="276" w:lineRule="auto"/>
        <w:jc w:val="both"/>
        <w:rPr>
          <w:rFonts w:cs="Helvetica Neue"/>
          <w:b/>
          <w:sz w:val="20"/>
          <w:szCs w:val="20"/>
        </w:rPr>
      </w:pPr>
    </w:p>
    <w:p w:rsidR="00A87160" w:rsidRPr="00694A11" w:rsidRDefault="00A87160" w:rsidP="00A87160">
      <w:pPr>
        <w:spacing w:line="276" w:lineRule="auto"/>
        <w:jc w:val="both"/>
        <w:rPr>
          <w:rFonts w:cs="Helvetica Neue"/>
          <w:b/>
          <w:sz w:val="20"/>
          <w:szCs w:val="20"/>
        </w:rPr>
      </w:pPr>
    </w:p>
    <w:p w:rsidR="00A87160" w:rsidRPr="00694A11" w:rsidRDefault="00A87160" w:rsidP="00A87160">
      <w:pPr>
        <w:spacing w:line="276" w:lineRule="auto"/>
        <w:jc w:val="both"/>
        <w:rPr>
          <w:rFonts w:cs="Helvetica Neue"/>
          <w:b/>
          <w:sz w:val="20"/>
          <w:szCs w:val="20"/>
        </w:rPr>
      </w:pPr>
    </w:p>
    <w:p w:rsidR="00A87160" w:rsidRPr="00694A11" w:rsidRDefault="00A87160" w:rsidP="00A87160">
      <w:pPr>
        <w:spacing w:line="276" w:lineRule="auto"/>
        <w:jc w:val="both"/>
        <w:rPr>
          <w:rFonts w:cs="Helvetica Neue"/>
          <w:b/>
          <w:sz w:val="20"/>
          <w:szCs w:val="20"/>
        </w:rPr>
      </w:pPr>
    </w:p>
    <w:p w:rsidR="00A87160" w:rsidRPr="00694A11" w:rsidRDefault="00A87160" w:rsidP="00A87160">
      <w:pPr>
        <w:spacing w:line="276" w:lineRule="auto"/>
        <w:jc w:val="both"/>
        <w:rPr>
          <w:rFonts w:cs="Helvetica Neue"/>
          <w:b/>
          <w:sz w:val="20"/>
          <w:szCs w:val="20"/>
        </w:rPr>
      </w:pPr>
    </w:p>
    <w:p w:rsidR="004E57E0" w:rsidRPr="00694A11" w:rsidRDefault="004E57E0" w:rsidP="00A87160">
      <w:pPr>
        <w:spacing w:line="276" w:lineRule="auto"/>
        <w:jc w:val="both"/>
        <w:rPr>
          <w:rFonts w:cs="Helvetica Neue"/>
          <w:b/>
          <w:sz w:val="20"/>
          <w:szCs w:val="20"/>
        </w:rPr>
      </w:pPr>
    </w:p>
    <w:p w:rsidR="004E57E0" w:rsidRPr="00694A11" w:rsidRDefault="004E57E0" w:rsidP="00A87160">
      <w:pPr>
        <w:spacing w:line="276" w:lineRule="auto"/>
        <w:jc w:val="both"/>
        <w:rPr>
          <w:rFonts w:cs="Helvetica Neue"/>
          <w:b/>
          <w:sz w:val="20"/>
          <w:szCs w:val="20"/>
        </w:rPr>
      </w:pPr>
    </w:p>
    <w:p w:rsidR="00694A11" w:rsidRPr="00694A11" w:rsidRDefault="00694A11" w:rsidP="00A87160">
      <w:pPr>
        <w:spacing w:line="276" w:lineRule="auto"/>
        <w:jc w:val="both"/>
        <w:rPr>
          <w:rFonts w:cs="Helvetica Neue"/>
          <w:b/>
          <w:sz w:val="20"/>
          <w:szCs w:val="20"/>
        </w:rPr>
      </w:pPr>
    </w:p>
    <w:p w:rsidR="00694A11" w:rsidRPr="00694A11" w:rsidRDefault="00694A11" w:rsidP="00A87160">
      <w:pPr>
        <w:spacing w:line="276" w:lineRule="auto"/>
        <w:jc w:val="both"/>
        <w:rPr>
          <w:rFonts w:cs="Helvetica Neue"/>
          <w:b/>
          <w:sz w:val="20"/>
          <w:szCs w:val="20"/>
        </w:rPr>
      </w:pPr>
    </w:p>
    <w:p w:rsidR="00CB2DC2" w:rsidRDefault="00CB2DC2" w:rsidP="00A87160">
      <w:pPr>
        <w:spacing w:line="276" w:lineRule="auto"/>
        <w:jc w:val="both"/>
        <w:rPr>
          <w:rFonts w:cs="Helvetica Neue"/>
          <w:b/>
          <w:sz w:val="20"/>
          <w:szCs w:val="20"/>
        </w:rPr>
      </w:pPr>
    </w:p>
    <w:p w:rsidR="005741AC" w:rsidRPr="00694A11" w:rsidRDefault="00A87160" w:rsidP="00A87160">
      <w:pPr>
        <w:spacing w:line="276" w:lineRule="auto"/>
        <w:jc w:val="both"/>
        <w:rPr>
          <w:rFonts w:cs="Helvetica Neue"/>
          <w:b/>
          <w:sz w:val="20"/>
          <w:szCs w:val="20"/>
        </w:rPr>
      </w:pPr>
      <w:r w:rsidRPr="00694A11">
        <w:rPr>
          <w:rFonts w:cs="Helvetica Neue"/>
          <w:b/>
          <w:sz w:val="20"/>
          <w:szCs w:val="20"/>
        </w:rPr>
        <w:t>Selon ces données, quelle quantité d’azote serait nécessaire pour obtenir un rendement maximal ? Quelle est la valeur de ce rendement ?</w:t>
      </w:r>
    </w:p>
    <w:sectPr w:rsidR="005741AC" w:rsidRPr="00694A11" w:rsidSect="00A87160">
      <w:footerReference w:type="default" r:id="rId10"/>
      <w:headerReference w:type="first" r:id="rId11"/>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0F3D" w:rsidRDefault="00070F3D" w:rsidP="00A87160">
      <w:r>
        <w:separator/>
      </w:r>
    </w:p>
  </w:endnote>
  <w:endnote w:type="continuationSeparator" w:id="0">
    <w:p w:rsidR="00070F3D" w:rsidRDefault="00070F3D" w:rsidP="00A87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A11" w:rsidRDefault="00694A11">
    <w:pPr>
      <w:pStyle w:val="Pieddepage"/>
    </w:pPr>
    <w:r w:rsidRPr="00A87160">
      <w:rPr>
        <w:b/>
      </w:rP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0F3D" w:rsidRDefault="00070F3D" w:rsidP="00A87160">
      <w:r>
        <w:separator/>
      </w:r>
    </w:p>
  </w:footnote>
  <w:footnote w:type="continuationSeparator" w:id="0">
    <w:p w:rsidR="00070F3D" w:rsidRDefault="00070F3D" w:rsidP="00A87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A11" w:rsidRPr="00A87160" w:rsidRDefault="00694A11" w:rsidP="00A87160">
    <w:pPr>
      <w:pStyle w:val="En-tte"/>
    </w:pPr>
    <w:r w:rsidRPr="00A87160">
      <w:rPr>
        <w:b/>
      </w:rPr>
      <w:t>Janvier 2016</w:t>
    </w:r>
    <w:r>
      <w:tab/>
    </w:r>
    <w:r>
      <w:tab/>
    </w:r>
    <w:r w:rsidRPr="00A87160">
      <w:rPr>
        <w:b/>
      </w:rPr>
      <w:t>Format</w:t>
    </w:r>
    <w:r w:rsidR="00CB2DC2">
      <w:rPr>
        <w:b/>
      </w:rPr>
      <w:t>ion Mathématique-FBD</w:t>
    </w:r>
  </w:p>
  <w:p w:rsidR="00694A11" w:rsidRDefault="00694A11" w:rsidP="00A87160">
    <w:pPr>
      <w:pStyle w:val="En-tte"/>
    </w:pPr>
    <w:r>
      <w:rPr>
        <w:b/>
      </w:rPr>
      <w:tab/>
    </w:r>
    <w:r>
      <w:rPr>
        <w:b/>
      </w:rPr>
      <w:tab/>
    </w:r>
    <w:proofErr w:type="spellStart"/>
    <w:r>
      <w:rPr>
        <w:b/>
      </w:rPr>
      <w:t>M.Tremblay</w:t>
    </w:r>
    <w:proofErr w:type="spellEnd"/>
    <w:r>
      <w:rPr>
        <w:b/>
      </w:rPr>
      <w:tab/>
    </w:r>
  </w:p>
  <w:p w:rsidR="00694A11" w:rsidRDefault="00694A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C1973"/>
    <w:multiLevelType w:val="hybridMultilevel"/>
    <w:tmpl w:val="1E366B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E76C18"/>
    <w:multiLevelType w:val="hybridMultilevel"/>
    <w:tmpl w:val="208AD2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99A2384"/>
    <w:multiLevelType w:val="hybridMultilevel"/>
    <w:tmpl w:val="67B405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160"/>
    <w:rsid w:val="00070F3D"/>
    <w:rsid w:val="004E57E0"/>
    <w:rsid w:val="005741AC"/>
    <w:rsid w:val="00694A11"/>
    <w:rsid w:val="00A87160"/>
    <w:rsid w:val="00B25F38"/>
    <w:rsid w:val="00C13155"/>
    <w:rsid w:val="00CB2DC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6AE609"/>
  <w14:defaultImageDpi w14:val="300"/>
  <w15:docId w15:val="{5ED56417-B8C3-480D-A2F6-8DC4DF5C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160"/>
    <w:rPr>
      <w:lang w:val="fr-FR"/>
    </w:rPr>
  </w:style>
  <w:style w:type="paragraph" w:styleId="Titre1">
    <w:name w:val="heading 1"/>
    <w:basedOn w:val="Normal"/>
    <w:next w:val="Normal"/>
    <w:link w:val="Titre1Car"/>
    <w:uiPriority w:val="9"/>
    <w:qFormat/>
    <w:rsid w:val="00A8716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A871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87160"/>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87160"/>
    <w:rPr>
      <w:rFonts w:asciiTheme="majorHAnsi" w:eastAsiaTheme="majorEastAsia" w:hAnsiTheme="majorHAnsi" w:cstheme="majorBidi"/>
      <w:b/>
      <w:bCs/>
      <w:color w:val="345A8A" w:themeColor="accent1" w:themeShade="B5"/>
      <w:sz w:val="32"/>
      <w:szCs w:val="32"/>
      <w:lang w:val="fr-FR"/>
    </w:rPr>
  </w:style>
  <w:style w:type="character" w:customStyle="1" w:styleId="Titre2Car">
    <w:name w:val="Titre 2 Car"/>
    <w:basedOn w:val="Policepardfaut"/>
    <w:link w:val="Titre2"/>
    <w:uiPriority w:val="9"/>
    <w:rsid w:val="00A87160"/>
    <w:rPr>
      <w:rFonts w:asciiTheme="majorHAnsi" w:eastAsiaTheme="majorEastAsia" w:hAnsiTheme="majorHAnsi" w:cstheme="majorBidi"/>
      <w:b/>
      <w:bCs/>
      <w:color w:val="4F81BD" w:themeColor="accent1"/>
      <w:sz w:val="26"/>
      <w:szCs w:val="26"/>
      <w:lang w:val="fr-FR"/>
    </w:rPr>
  </w:style>
  <w:style w:type="character" w:customStyle="1" w:styleId="Titre3Car">
    <w:name w:val="Titre 3 Car"/>
    <w:basedOn w:val="Policepardfaut"/>
    <w:link w:val="Titre3"/>
    <w:uiPriority w:val="9"/>
    <w:rsid w:val="00A87160"/>
    <w:rPr>
      <w:rFonts w:asciiTheme="majorHAnsi" w:eastAsiaTheme="majorEastAsia" w:hAnsiTheme="majorHAnsi" w:cstheme="majorBidi"/>
      <w:b/>
      <w:bCs/>
      <w:color w:val="4F81BD" w:themeColor="accent1"/>
      <w:lang w:val="fr-FR"/>
    </w:rPr>
  </w:style>
  <w:style w:type="table" w:styleId="Ombrageclair">
    <w:name w:val="Light Shading"/>
    <w:basedOn w:val="TableauNormal"/>
    <w:uiPriority w:val="60"/>
    <w:rsid w:val="00A87160"/>
    <w:rPr>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ous-titre">
    <w:name w:val="Subtitle"/>
    <w:basedOn w:val="Normal"/>
    <w:next w:val="Normal"/>
    <w:link w:val="Sous-titreCar"/>
    <w:uiPriority w:val="11"/>
    <w:qFormat/>
    <w:rsid w:val="00A87160"/>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A87160"/>
    <w:rPr>
      <w:rFonts w:asciiTheme="majorHAnsi" w:eastAsiaTheme="majorEastAsia" w:hAnsiTheme="majorHAnsi" w:cstheme="majorBidi"/>
      <w:i/>
      <w:iCs/>
      <w:color w:val="4F81BD" w:themeColor="accent1"/>
      <w:spacing w:val="15"/>
      <w:lang w:val="fr-FR"/>
    </w:rPr>
  </w:style>
  <w:style w:type="paragraph" w:styleId="Paragraphedeliste">
    <w:name w:val="List Paragraph"/>
    <w:basedOn w:val="Normal"/>
    <w:uiPriority w:val="34"/>
    <w:qFormat/>
    <w:rsid w:val="00A87160"/>
    <w:pPr>
      <w:ind w:left="720"/>
      <w:contextualSpacing/>
    </w:pPr>
  </w:style>
  <w:style w:type="character" w:styleId="Marquedecommentaire">
    <w:name w:val="annotation reference"/>
    <w:basedOn w:val="Policepardfaut"/>
    <w:uiPriority w:val="99"/>
    <w:semiHidden/>
    <w:unhideWhenUsed/>
    <w:rsid w:val="00A87160"/>
    <w:rPr>
      <w:sz w:val="18"/>
      <w:szCs w:val="18"/>
    </w:rPr>
  </w:style>
  <w:style w:type="paragraph" w:styleId="Commentaire">
    <w:name w:val="annotation text"/>
    <w:basedOn w:val="Normal"/>
    <w:link w:val="CommentaireCar"/>
    <w:uiPriority w:val="99"/>
    <w:semiHidden/>
    <w:unhideWhenUsed/>
    <w:rsid w:val="00A87160"/>
  </w:style>
  <w:style w:type="character" w:customStyle="1" w:styleId="CommentaireCar">
    <w:name w:val="Commentaire Car"/>
    <w:basedOn w:val="Policepardfaut"/>
    <w:link w:val="Commentaire"/>
    <w:uiPriority w:val="99"/>
    <w:semiHidden/>
    <w:rsid w:val="00A87160"/>
    <w:rPr>
      <w:lang w:val="fr-FR"/>
    </w:rPr>
  </w:style>
  <w:style w:type="paragraph" w:styleId="Textedebulles">
    <w:name w:val="Balloon Text"/>
    <w:basedOn w:val="Normal"/>
    <w:link w:val="TextedebullesCar"/>
    <w:uiPriority w:val="99"/>
    <w:semiHidden/>
    <w:unhideWhenUsed/>
    <w:rsid w:val="00A8716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87160"/>
    <w:rPr>
      <w:rFonts w:ascii="Lucida Grande" w:hAnsi="Lucida Grande" w:cs="Lucida Grande"/>
      <w:sz w:val="18"/>
      <w:szCs w:val="18"/>
      <w:lang w:val="fr-FR"/>
    </w:rPr>
  </w:style>
  <w:style w:type="paragraph" w:styleId="En-tte">
    <w:name w:val="header"/>
    <w:basedOn w:val="Normal"/>
    <w:link w:val="En-tteCar"/>
    <w:uiPriority w:val="99"/>
    <w:unhideWhenUsed/>
    <w:rsid w:val="00A87160"/>
    <w:pPr>
      <w:tabs>
        <w:tab w:val="center" w:pos="4536"/>
        <w:tab w:val="right" w:pos="9072"/>
      </w:tabs>
    </w:pPr>
  </w:style>
  <w:style w:type="character" w:customStyle="1" w:styleId="En-tteCar">
    <w:name w:val="En-tête Car"/>
    <w:basedOn w:val="Policepardfaut"/>
    <w:link w:val="En-tte"/>
    <w:uiPriority w:val="99"/>
    <w:rsid w:val="00A87160"/>
    <w:rPr>
      <w:lang w:val="fr-FR"/>
    </w:rPr>
  </w:style>
  <w:style w:type="paragraph" w:styleId="Pieddepage">
    <w:name w:val="footer"/>
    <w:basedOn w:val="Normal"/>
    <w:link w:val="PieddepageCar"/>
    <w:uiPriority w:val="99"/>
    <w:unhideWhenUsed/>
    <w:rsid w:val="00A87160"/>
    <w:pPr>
      <w:tabs>
        <w:tab w:val="center" w:pos="4536"/>
        <w:tab w:val="right" w:pos="9072"/>
      </w:tabs>
    </w:pPr>
  </w:style>
  <w:style w:type="character" w:customStyle="1" w:styleId="PieddepageCar">
    <w:name w:val="Pied de page Car"/>
    <w:basedOn w:val="Policepardfaut"/>
    <w:link w:val="Pieddepage"/>
    <w:uiPriority w:val="99"/>
    <w:rsid w:val="00A87160"/>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507</Words>
  <Characters>2794</Characters>
  <Application>Microsoft Office Word</Application>
  <DocSecurity>0</DocSecurity>
  <Lines>23</Lines>
  <Paragraphs>6</Paragraphs>
  <ScaleCrop>false</ScaleCrop>
  <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Mélanie Tremblay</dc:creator>
  <cp:keywords/>
  <dc:description/>
  <cp:lastModifiedBy>catherine royer</cp:lastModifiedBy>
  <cp:revision>3</cp:revision>
  <dcterms:created xsi:type="dcterms:W3CDTF">2016-01-20T19:30:00Z</dcterms:created>
  <dcterms:modified xsi:type="dcterms:W3CDTF">2016-01-20T20:18:00Z</dcterms:modified>
</cp:coreProperties>
</file>